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:rsidR="005E6592" w:rsidRPr="00B832D3" w:rsidRDefault="00DE06A2">
      <w:pPr>
        <w:rPr>
          <w:rFonts w:ascii="仿宋_GB2312" w:eastAsia="仿宋_GB2312"/>
          <w:color w:val="000000" w:themeColor="text1"/>
          <w:sz w:val="24"/>
        </w:rPr>
      </w:pPr>
      <w:r w:rsidRPr="00B832D3">
        <w:rPr>
          <w:rFonts w:ascii="仿宋_GB2312" w:eastAsia="仿宋_GB2312"/>
          <w:color w:val="000000" w:themeColor="text1"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B832D3">
        <w:rPr>
          <w:rFonts w:ascii="仿宋_GB2312" w:eastAsia="仿宋_GB2312"/>
          <w:color w:val="000000" w:themeColor="text1"/>
          <w:sz w:val="32"/>
        </w:rPr>
        <w:instrText>ADDIN CNKISM.UserStyle</w:instrText>
      </w:r>
      <w:r w:rsidRPr="00B832D3">
        <w:rPr>
          <w:rFonts w:ascii="仿宋_GB2312" w:eastAsia="仿宋_GB2312"/>
          <w:color w:val="000000" w:themeColor="text1"/>
          <w:sz w:val="32"/>
        </w:rPr>
      </w:r>
      <w:r w:rsidRPr="00B832D3">
        <w:rPr>
          <w:rFonts w:ascii="仿宋_GB2312" w:eastAsia="仿宋_GB2312"/>
          <w:color w:val="000000" w:themeColor="text1"/>
          <w:sz w:val="32"/>
        </w:rPr>
        <w:fldChar w:fldCharType="end"/>
      </w:r>
      <w:r w:rsidR="00607F90" w:rsidRPr="00B832D3">
        <w:rPr>
          <w:rFonts w:ascii="仿宋_GB2312" w:eastAsia="仿宋_GB2312" w:hint="eastAsia"/>
          <w:color w:val="000000" w:themeColor="text1"/>
          <w:sz w:val="32"/>
        </w:rPr>
        <w:t>附件1：</w:t>
      </w:r>
    </w:p>
    <w:p w:rsidR="005E6592" w:rsidRPr="00B832D3" w:rsidRDefault="00607F90">
      <w:pPr>
        <w:spacing w:afterLines="50" w:after="156"/>
        <w:jc w:val="center"/>
        <w:rPr>
          <w:b/>
          <w:color w:val="000000" w:themeColor="text1"/>
          <w:sz w:val="36"/>
          <w:szCs w:val="36"/>
        </w:rPr>
      </w:pPr>
      <w:r w:rsidRPr="00B832D3">
        <w:rPr>
          <w:rFonts w:hint="eastAsia"/>
          <w:b/>
          <w:color w:val="000000" w:themeColor="text1"/>
          <w:sz w:val="36"/>
          <w:szCs w:val="36"/>
        </w:rPr>
        <w:t>20</w:t>
      </w:r>
      <w:r w:rsidRPr="00B832D3">
        <w:rPr>
          <w:b/>
          <w:color w:val="000000" w:themeColor="text1"/>
          <w:sz w:val="36"/>
          <w:szCs w:val="36"/>
        </w:rPr>
        <w:t>20</w:t>
      </w:r>
      <w:r w:rsidRPr="00B832D3">
        <w:rPr>
          <w:rFonts w:hint="eastAsia"/>
          <w:b/>
          <w:color w:val="000000" w:themeColor="text1"/>
          <w:sz w:val="36"/>
          <w:szCs w:val="36"/>
        </w:rPr>
        <w:t>年硕博连读资格成绩排名计算规则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一、学生基数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1．入学方式为统考</w:t>
      </w:r>
      <w:proofErr w:type="gramStart"/>
      <w:r w:rsidRPr="00B832D3">
        <w:rPr>
          <w:rFonts w:ascii="仿宋_GB2312" w:eastAsia="仿宋_GB2312" w:hint="eastAsia"/>
          <w:color w:val="000000" w:themeColor="text1"/>
          <w:sz w:val="32"/>
        </w:rPr>
        <w:t>或推免的</w:t>
      </w:r>
      <w:proofErr w:type="gramEnd"/>
      <w:r w:rsidRPr="00B832D3">
        <w:rPr>
          <w:rFonts w:ascii="仿宋_GB2312" w:eastAsia="仿宋_GB2312" w:hint="eastAsia"/>
          <w:color w:val="000000" w:themeColor="text1"/>
          <w:sz w:val="32"/>
        </w:rPr>
        <w:t>所有201</w:t>
      </w:r>
      <w:r w:rsidR="009B7A4A" w:rsidRPr="00B832D3">
        <w:rPr>
          <w:rFonts w:ascii="仿宋_GB2312" w:eastAsia="仿宋_GB2312"/>
          <w:color w:val="000000" w:themeColor="text1"/>
          <w:sz w:val="32"/>
        </w:rPr>
        <w:t>7</w:t>
      </w:r>
      <w:r w:rsidRPr="00B832D3">
        <w:rPr>
          <w:rFonts w:ascii="仿宋_GB2312" w:eastAsia="仿宋_GB2312" w:hint="eastAsia"/>
          <w:color w:val="000000" w:themeColor="text1"/>
          <w:sz w:val="32"/>
        </w:rPr>
        <w:t>级、201</w:t>
      </w:r>
      <w:r w:rsidR="009B7A4A" w:rsidRPr="00B832D3">
        <w:rPr>
          <w:rFonts w:ascii="仿宋_GB2312" w:eastAsia="仿宋_GB2312"/>
          <w:color w:val="000000" w:themeColor="text1"/>
          <w:sz w:val="32"/>
        </w:rPr>
        <w:t>8</w:t>
      </w:r>
      <w:r w:rsidRPr="00B832D3">
        <w:rPr>
          <w:rFonts w:ascii="仿宋_GB2312" w:eastAsia="仿宋_GB2312" w:hint="eastAsia"/>
          <w:color w:val="000000" w:themeColor="text1"/>
          <w:sz w:val="32"/>
        </w:rPr>
        <w:t>级硕士研究生（不区分全日制、非全日制，不含未入学的硕士生，下同）。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2．休学的201</w:t>
      </w:r>
      <w:r w:rsidR="009B7A4A" w:rsidRPr="00B832D3">
        <w:rPr>
          <w:rFonts w:ascii="仿宋_GB2312" w:eastAsia="仿宋_GB2312"/>
          <w:color w:val="000000" w:themeColor="text1"/>
          <w:sz w:val="32"/>
        </w:rPr>
        <w:t>7</w:t>
      </w:r>
      <w:r w:rsidRPr="00B832D3">
        <w:rPr>
          <w:rFonts w:ascii="仿宋_GB2312" w:eastAsia="仿宋_GB2312" w:hint="eastAsia"/>
          <w:color w:val="000000" w:themeColor="text1"/>
          <w:sz w:val="32"/>
        </w:rPr>
        <w:t>级、201</w:t>
      </w:r>
      <w:r w:rsidR="009B7A4A" w:rsidRPr="00B832D3">
        <w:rPr>
          <w:rFonts w:ascii="仿宋_GB2312" w:eastAsia="仿宋_GB2312"/>
          <w:color w:val="000000" w:themeColor="text1"/>
          <w:sz w:val="32"/>
        </w:rPr>
        <w:t>8</w:t>
      </w:r>
      <w:r w:rsidRPr="00B832D3">
        <w:rPr>
          <w:rFonts w:ascii="仿宋_GB2312" w:eastAsia="仿宋_GB2312" w:hint="eastAsia"/>
          <w:color w:val="000000" w:themeColor="text1"/>
          <w:sz w:val="32"/>
        </w:rPr>
        <w:t>级硕士研究生、已毕业的201</w:t>
      </w:r>
      <w:r w:rsidR="009B7A4A" w:rsidRPr="00B832D3">
        <w:rPr>
          <w:rFonts w:ascii="仿宋_GB2312" w:eastAsia="仿宋_GB2312"/>
          <w:color w:val="000000" w:themeColor="text1"/>
          <w:sz w:val="32"/>
        </w:rPr>
        <w:t>7</w:t>
      </w:r>
      <w:r w:rsidRPr="00B832D3">
        <w:rPr>
          <w:rFonts w:ascii="仿宋_GB2312" w:eastAsia="仿宋_GB2312" w:hint="eastAsia"/>
          <w:color w:val="000000" w:themeColor="text1"/>
          <w:sz w:val="32"/>
        </w:rPr>
        <w:t>级硕士研究生，仍然计入本年级硕士研究生基数，并在本年级进行成绩排名。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3．已取得硕博连读资格的201</w:t>
      </w:r>
      <w:r w:rsidR="0076529B" w:rsidRPr="00B832D3">
        <w:rPr>
          <w:rFonts w:ascii="仿宋_GB2312" w:eastAsia="仿宋_GB2312"/>
          <w:color w:val="000000" w:themeColor="text1"/>
          <w:sz w:val="32"/>
        </w:rPr>
        <w:t>7</w:t>
      </w:r>
      <w:r w:rsidRPr="00B832D3">
        <w:rPr>
          <w:rFonts w:ascii="仿宋_GB2312" w:eastAsia="仿宋_GB2312" w:hint="eastAsia"/>
          <w:color w:val="000000" w:themeColor="text1"/>
          <w:sz w:val="32"/>
        </w:rPr>
        <w:t>级、201</w:t>
      </w:r>
      <w:r w:rsidR="0076529B" w:rsidRPr="00B832D3">
        <w:rPr>
          <w:rFonts w:ascii="仿宋_GB2312" w:eastAsia="仿宋_GB2312"/>
          <w:color w:val="000000" w:themeColor="text1"/>
          <w:sz w:val="32"/>
        </w:rPr>
        <w:t>8</w:t>
      </w:r>
      <w:r w:rsidRPr="00B832D3">
        <w:rPr>
          <w:rFonts w:ascii="仿宋_GB2312" w:eastAsia="仿宋_GB2312" w:hint="eastAsia"/>
          <w:color w:val="000000" w:themeColor="text1"/>
          <w:sz w:val="32"/>
        </w:rPr>
        <w:t>级硕士研究生仍然计入当年级硕士研究生基数。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二、成绩计算的课程范围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除</w:t>
      </w:r>
      <w:r w:rsidR="00DE06A2" w:rsidRPr="00B832D3">
        <w:rPr>
          <w:rFonts w:ascii="仿宋_GB2312" w:eastAsia="仿宋_GB2312" w:hint="eastAsia"/>
          <w:color w:val="000000" w:themeColor="text1"/>
          <w:sz w:val="32"/>
        </w:rPr>
        <w:t>课程类型为综合环节1和综合环节2B的课程（如</w:t>
      </w:r>
      <w:r w:rsidRPr="00B832D3">
        <w:rPr>
          <w:rFonts w:ascii="仿宋_GB2312" w:eastAsia="仿宋_GB2312" w:hint="eastAsia"/>
          <w:color w:val="000000" w:themeColor="text1"/>
          <w:sz w:val="32"/>
        </w:rPr>
        <w:t>文献综述报告、学术活动、实践、实验环节成绩</w:t>
      </w:r>
      <w:r w:rsidR="00DE06A2" w:rsidRPr="00B832D3">
        <w:rPr>
          <w:rFonts w:ascii="仿宋_GB2312" w:eastAsia="仿宋_GB2312" w:hint="eastAsia"/>
          <w:color w:val="000000" w:themeColor="text1"/>
          <w:sz w:val="32"/>
        </w:rPr>
        <w:t>）</w:t>
      </w:r>
      <w:r w:rsidRPr="00B832D3">
        <w:rPr>
          <w:rFonts w:ascii="仿宋_GB2312" w:eastAsia="仿宋_GB2312" w:hint="eastAsia"/>
          <w:color w:val="000000" w:themeColor="text1"/>
          <w:sz w:val="32"/>
        </w:rPr>
        <w:t>外，研究生培养计划规定的其他所有课程成绩。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三、平均成绩计算方法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1．平均成绩的计算取“加权平均成绩”，即“Σ（学分×成绩）/Σ学分”，每门课程只计算1次成绩。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2. “五分制”成绩中的“优、良、中、及格、不及格”折合“百分制”对应分数分别为“95、85、75、65、35”。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3．不及格课程经重修或重考后取得合格成绩的，成绩按照60分计算；不及格课程经重修或重考仍未达到合格成绩的，按照该门课程已取得的最高成绩计算。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4. 缓考取得的合格成绩，“百分制”按照实际成绩计算，“五分制”按照前述第2点的方法进行折合。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5. 学生多选的选修课程，未</w:t>
      </w:r>
      <w:proofErr w:type="gramStart"/>
      <w:r w:rsidRPr="00B832D3">
        <w:rPr>
          <w:rFonts w:ascii="仿宋_GB2312" w:eastAsia="仿宋_GB2312" w:hint="eastAsia"/>
          <w:color w:val="000000" w:themeColor="text1"/>
          <w:sz w:val="32"/>
        </w:rPr>
        <w:t>进行退课的</w:t>
      </w:r>
      <w:proofErr w:type="gramEnd"/>
      <w:r w:rsidRPr="00B832D3">
        <w:rPr>
          <w:rFonts w:ascii="仿宋_GB2312" w:eastAsia="仿宋_GB2312" w:hint="eastAsia"/>
          <w:color w:val="000000" w:themeColor="text1"/>
          <w:sz w:val="32"/>
        </w:rPr>
        <w:t>，仍列入成绩计算范围。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四、成绩排名方式</w:t>
      </w:r>
    </w:p>
    <w:p w:rsidR="005E6592" w:rsidRPr="00B832D3" w:rsidRDefault="00607F90" w:rsidP="000E64A3">
      <w:pPr>
        <w:spacing w:line="440" w:lineRule="exact"/>
        <w:ind w:firstLineChars="200" w:firstLine="640"/>
        <w:rPr>
          <w:color w:val="000000" w:themeColor="text1"/>
        </w:rPr>
      </w:pPr>
      <w:r w:rsidRPr="00B832D3">
        <w:rPr>
          <w:rFonts w:ascii="仿宋_GB2312" w:eastAsia="仿宋_GB2312" w:hint="eastAsia"/>
          <w:color w:val="000000" w:themeColor="text1"/>
          <w:sz w:val="32"/>
        </w:rPr>
        <w:t>各院系按照硕士研究生的入学年级、入学就读专业（或领域）、平均成绩计算成绩排名。</w:t>
      </w:r>
      <w:bookmarkEnd w:id="0"/>
    </w:p>
    <w:sectPr w:rsidR="005E6592" w:rsidRPr="00B83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FBB" w:rsidRDefault="00595FBB" w:rsidP="00DE06A2">
      <w:r>
        <w:separator/>
      </w:r>
    </w:p>
  </w:endnote>
  <w:endnote w:type="continuationSeparator" w:id="0">
    <w:p w:rsidR="00595FBB" w:rsidRDefault="00595FBB" w:rsidP="00DE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FBB" w:rsidRDefault="00595FBB" w:rsidP="00DE06A2">
      <w:r>
        <w:separator/>
      </w:r>
    </w:p>
  </w:footnote>
  <w:footnote w:type="continuationSeparator" w:id="0">
    <w:p w:rsidR="00595FBB" w:rsidRDefault="00595FBB" w:rsidP="00DE0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299"/>
    <w:rsid w:val="000E64A3"/>
    <w:rsid w:val="00595FBB"/>
    <w:rsid w:val="005E6592"/>
    <w:rsid w:val="00607F90"/>
    <w:rsid w:val="0074458C"/>
    <w:rsid w:val="0076529B"/>
    <w:rsid w:val="009B7A4A"/>
    <w:rsid w:val="009F4299"/>
    <w:rsid w:val="00B32865"/>
    <w:rsid w:val="00B832D3"/>
    <w:rsid w:val="00CD369B"/>
    <w:rsid w:val="00D33BA5"/>
    <w:rsid w:val="00DE06A2"/>
    <w:rsid w:val="17137924"/>
    <w:rsid w:val="3E64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26FE7"/>
  <w15:docId w15:val="{0D387B76-89EC-4258-BABF-B2D17BB7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6A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6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 Yuanpei</dc:creator>
  <cp:lastModifiedBy>Administrator</cp:lastModifiedBy>
  <cp:revision>9</cp:revision>
  <dcterms:created xsi:type="dcterms:W3CDTF">2018-11-07T00:45:00Z</dcterms:created>
  <dcterms:modified xsi:type="dcterms:W3CDTF">2019-11-12T02:58:00Z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